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 w:eastAsia="Calibri"/>
          <w:b/>
          <w:i w:val="0"/>
          <w:color w:val="52606D"/>
          <w:sz w:val="24"/>
        </w:rPr>
        <w:t>METRO ENGENHARIA</w:t>
      </w:r>
    </w:p>
    <w:p>
      <w:pPr>
        <w:spacing w:after="0"/>
      </w:pPr>
      <w:r>
        <w:rPr>
          <w:rFonts w:ascii="Calibri" w:hAnsi="Calibri" w:eastAsia="Calibri"/>
          <w:b/>
          <w:i w:val="0"/>
          <w:color w:val="1F2933"/>
          <w:sz w:val="48"/>
        </w:rPr>
        <w:t>Modelagem BIM Documental</w:t>
      </w:r>
    </w:p>
    <w:p>
      <w:pPr>
        <w:spacing w:after="40"/>
      </w:pPr>
      <w:r>
        <w:rPr>
          <w:rFonts w:ascii="Calibri" w:hAnsi="Calibri" w:eastAsia="Calibri"/>
          <w:b w:val="0"/>
          <w:i w:val="0"/>
          <w:color w:val="52606D"/>
          <w:sz w:val="28"/>
        </w:rPr>
        <w:t>Pacote prioritário: As Built 2D para IFC</w:t>
      </w:r>
    </w:p>
    <w:p>
      <w:pPr>
        <w:spacing w:after="200"/>
      </w:pPr>
      <w:r>
        <w:rPr>
          <w:rFonts w:ascii="Calibri" w:hAnsi="Calibri" w:eastAsia="Calibri"/>
          <w:b w:val="0"/>
          <w:i w:val="0"/>
          <w:color w:val="1F2933"/>
          <w:sz w:val="22"/>
        </w:rPr>
        <w:t>Complexo Escolar de Gandu e Unidade de Piraí do Norte/BA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E1E8"/>
          <w:left w:val="single" w:sz="4" w:space="0" w:color="D9E1E8"/>
          <w:bottom w:val="single" w:sz="4" w:space="0" w:color="D9E1E8"/>
          <w:right w:val="single" w:sz="4" w:space="0" w:color="D9E1E8"/>
          <w:insideH w:val="single" w:sz="4" w:space="0" w:color="D9E1E8"/>
          <w:insideV w:val="single" w:sz="4" w:space="0" w:color="D9E1E8"/>
        </w:tblBorders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type="dxa" w:w="2000"/>
            <w:shd w:val="clear" w:color="auto" w:fill="EAF1F7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INFORMAÇÃO</w:t>
            </w:r>
          </w:p>
        </w:tc>
        <w:tc>
          <w:tcPr>
            <w:tcW w:type="dxa" w:w="2680"/>
            <w:shd w:val="clear" w:color="auto" w:fill="EAF1F7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DEFINIÇÃO</w:t>
            </w:r>
          </w:p>
        </w:tc>
        <w:tc>
          <w:tcPr>
            <w:tcW w:type="dxa" w:w="2000"/>
            <w:shd w:val="clear" w:color="auto" w:fill="EAF1F7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INFORMAÇÃO</w:t>
            </w:r>
          </w:p>
        </w:tc>
        <w:tc>
          <w:tcPr>
            <w:tcW w:type="dxa" w:w="2680"/>
            <w:shd w:val="clear" w:color="auto" w:fill="EAF1F7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DEFINIÇÃO</w:t>
            </w:r>
          </w:p>
        </w:tc>
      </w:tr>
      <w:tr>
        <w:trPr>
          <w:cantSplit/>
        </w:trPr>
        <w:tc>
          <w:tcPr>
            <w:tcW w:type="dxa" w:w="200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Preparada para</w:t>
            </w:r>
          </w:p>
        </w:tc>
        <w:tc>
          <w:tcPr>
            <w:tcW w:type="dxa" w:w="268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Metro Engenharia</w:t>
            </w:r>
          </w:p>
        </w:tc>
        <w:tc>
          <w:tcPr>
            <w:tcW w:type="dxa" w:w="200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Data-base</w:t>
            </w:r>
          </w:p>
        </w:tc>
        <w:tc>
          <w:tcPr>
            <w:tcW w:type="dxa" w:w="268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17 de julho de 2026</w:t>
            </w:r>
          </w:p>
        </w:tc>
      </w:tr>
      <w:tr>
        <w:trPr>
          <w:cantSplit/>
        </w:trPr>
        <w:tc>
          <w:tcPr>
            <w:tcW w:type="dxa" w:w="200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Contato técnico</w:t>
            </w:r>
          </w:p>
        </w:tc>
        <w:tc>
          <w:tcPr>
            <w:tcW w:type="dxa" w:w="268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Natalie Abreu</w:t>
            </w:r>
          </w:p>
        </w:tc>
        <w:tc>
          <w:tcPr>
            <w:tcW w:type="dxa" w:w="200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Revisão</w:t>
            </w:r>
          </w:p>
        </w:tc>
        <w:tc>
          <w:tcPr>
            <w:tcW w:type="dxa" w:w="268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00</w:t>
            </w:r>
          </w:p>
        </w:tc>
      </w:tr>
      <w:tr>
        <w:trPr>
          <w:cantSplit/>
        </w:trPr>
        <w:tc>
          <w:tcPr>
            <w:tcW w:type="dxa" w:w="200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Empreendimentos</w:t>
            </w:r>
          </w:p>
        </w:tc>
        <w:tc>
          <w:tcPr>
            <w:tcW w:type="dxa" w:w="268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Gandu e Piraí do Norte/BA</w:t>
            </w:r>
          </w:p>
        </w:tc>
        <w:tc>
          <w:tcPr>
            <w:tcW w:type="dxa" w:w="200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Produto contratual</w:t>
            </w:r>
          </w:p>
        </w:tc>
        <w:tc>
          <w:tcPr>
            <w:tcW w:type="dxa" w:w="268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Exclusivamente IFC</w:t>
            </w:r>
          </w:p>
        </w:tc>
      </w:tr>
      <w:tr>
        <w:trPr>
          <w:cantSplit/>
        </w:trPr>
        <w:tc>
          <w:tcPr>
            <w:tcW w:type="dxa" w:w="200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Valor total</w:t>
            </w:r>
          </w:p>
        </w:tc>
        <w:tc>
          <w:tcPr>
            <w:tcW w:type="dxa" w:w="268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R$ 35.000,00</w:t>
            </w:r>
          </w:p>
        </w:tc>
        <w:tc>
          <w:tcPr>
            <w:tcW w:type="dxa" w:w="200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Validade da proposta</w:t>
            </w:r>
          </w:p>
        </w:tc>
        <w:tc>
          <w:tcPr>
            <w:tcW w:type="dxa" w:w="268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15 dias corridos</w:t>
            </w:r>
          </w:p>
        </w:tc>
      </w:tr>
    </w:tbl>
    <w:p>
      <w:pPr>
        <w:spacing w:before="0" w:after="0"/>
      </w:pPr>
      <w:r>
        <w:rPr>
          <w:sz w:val="16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8" w:space="0" w:color="0F6B62"/>
          <w:left w:val="single" w:sz="8" w:space="0" w:color="0F6B62"/>
          <w:bottom w:val="single" w:sz="8" w:space="0" w:color="0F6B62"/>
          <w:right w:val="single" w:sz="8" w:space="0" w:color="0F6B62"/>
        </w:tblBorders>
        <w:tblLayout w:type="fixed"/>
      </w:tblPr>
      <w:tblGrid>
        <w:gridCol w:w="8640"/>
      </w:tblGrid>
      <w:tr>
        <w:trPr>
          <w:cantSplit/>
        </w:trPr>
        <w:tc>
          <w:tcPr>
            <w:tcW w:type="dxa" w:w="9360"/>
            <w:shd w:val="clear" w:color="auto" w:fill="E2F0ED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0F6B62"/>
                <w:sz w:val="19"/>
              </w:rPr>
              <w:t>OBJETO DA CONTRATAÇÃO</w:t>
              <w:br/>
            </w:r>
            <w:r>
              <w:rPr>
                <w:rFonts w:ascii="Calibri" w:hAnsi="Calibri" w:eastAsia="Calibri"/>
                <w:b/>
                <w:i w:val="0"/>
                <w:color w:val="17324D"/>
                <w:sz w:val="20"/>
              </w:rPr>
              <w:t>Modelagem BIM documental das fundações, estruturas, instalações e demais sistemas expressamente representados nos desenhos 2D As Built formalmente liberados pela CONTRATANTE, com entrega exclusiva em formato IFC, por ordem de prioridade e dentro de uma capacidade contratada de até 350 horas de modelagem direta.</w:t>
            </w:r>
          </w:p>
        </w:tc>
      </w:tr>
    </w:tbl>
    <w:p>
      <w:pPr>
        <w:spacing w:before="0" w:after="0"/>
      </w:pPr>
      <w:r>
        <w:rPr>
          <w:sz w:val="1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8" w:space="0" w:color="C79100"/>
          <w:left w:val="single" w:sz="8" w:space="0" w:color="C79100"/>
          <w:bottom w:val="single" w:sz="8" w:space="0" w:color="C79100"/>
          <w:right w:val="single" w:sz="8" w:space="0" w:color="C79100"/>
        </w:tblBorders>
        <w:tblLayout w:type="fixed"/>
      </w:tblPr>
      <w:tblGrid>
        <w:gridCol w:w="8640"/>
      </w:tblGrid>
      <w:tr>
        <w:trPr>
          <w:cantSplit/>
        </w:trPr>
        <w:tc>
          <w:tcPr>
            <w:tcW w:type="dxa" w:w="9360"/>
            <w:shd w:val="clear" w:color="auto" w:fill="FFF2CC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7A5A00"/>
                <w:sz w:val="19"/>
              </w:rPr>
              <w:t>LIMITE ESSENCIAL</w:t>
              <w:br/>
            </w:r>
            <w:r>
              <w:rPr>
                <w:rFonts w:ascii="Calibri" w:hAnsi="Calibri" w:eastAsia="Calibri"/>
                <w:b/>
                <w:i w:val="0"/>
                <w:color w:val="7A5A00"/>
                <w:sz w:val="20"/>
              </w:rPr>
              <w:t>O objeto é um pacote prioritário de capacidade limitada, com entrega exclusiva em IFC. Não representa a conversão integral do acervo documental das escolas, nem a contratação automática de todas as edificações, pranchas ou disciplinas.</w:t>
            </w:r>
          </w:p>
        </w:tc>
      </w:tr>
    </w:tbl>
    <w:p>
      <w:pPr>
        <w:spacing w:before="0" w:after="0"/>
      </w:pPr>
      <w:r>
        <w:rPr>
          <w:sz w:val="12"/>
        </w:rPr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1. Apresentação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Esta proposta contempla a modelagem BIM documental das informações constantes em desenhos 2D As Built formalmente liberados pela CONTRATANTE.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produção será realizada por ordem de prioridade e limitada à capacidade técnica prevista nesta contratação, permitindo direcionar o investimento aos blocos, disciplinas e sistemas considerados mais importantes pela Metro Engenharia.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universo documental de referência compreende o complexo escolar de Gandu, formado por duas unidades situadas no mesmo terreno, e a unidade escolar de Piraí do Norte.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indicação desses empreendimentos não representa contratação automática da modelagem integral de todas as edificações, áreas, pranchas ou disciplinas disponíveis no acervo.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2. Objeto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Prestação de serviços técnicos de modelagem BIM documental, realizada exclusivamente a partir dos desenhos 2D As Built disponibilizados pela CONTRATANTE e formalmente declarados como finalizados.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contratação disponibiliza até 350 horas diretas de modelagem para atendimento da fila de prioridades aprovada.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serviço não inclui levantamento de campo, desenvolvimento de projeto, compatibilização ou validação técnica das soluções representadas nos documentos de origem.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3. Valor e capacidade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valor total fixo desta proposta é de: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</w:tblBorders>
        <w:tblLayout w:type="fixed"/>
      </w:tblPr>
      <w:tblGrid>
        <w:gridCol w:w="8640"/>
      </w:tblGrid>
      <w:tr>
        <w:trPr>
          <w:cantSplit/>
        </w:trPr>
        <w:tc>
          <w:tcPr>
            <w:tcW w:type="dxa" w:w="9360"/>
            <w:shd w:val="clear" w:color="auto" w:fill="EAF1F7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2E74B5"/>
                <w:sz w:val="19"/>
              </w:rPr>
              <w:t>VALOR TOTAL FIXO: R$ 35.000,00</w:t>
              <w:br/>
            </w:r>
            <w:r>
              <w:rPr>
                <w:rFonts w:ascii="Calibri" w:hAnsi="Calibri" w:eastAsia="Calibri"/>
                <w:b/>
                <w:i w:val="0"/>
                <w:color w:val="17324D"/>
                <w:sz w:val="20"/>
              </w:rPr>
              <w:t>Trinta e cinco mil reais.</w:t>
            </w:r>
          </w:p>
        </w:tc>
      </w:tr>
    </w:tbl>
    <w:p>
      <w:pPr>
        <w:spacing w:before="0" w:after="0"/>
      </w:pPr>
      <w:r>
        <w:rPr>
          <w:sz w:val="12"/>
        </w:rPr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Composição de referência: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E1E8"/>
          <w:left w:val="single" w:sz="4" w:space="0" w:color="D9E1E8"/>
          <w:bottom w:val="single" w:sz="4" w:space="0" w:color="D9E1E8"/>
          <w:right w:val="single" w:sz="4" w:space="0" w:color="D9E1E8"/>
          <w:insideH w:val="single" w:sz="4" w:space="0" w:color="D9E1E8"/>
          <w:insideV w:val="single" w:sz="4" w:space="0" w:color="D9E1E8"/>
        </w:tblBorders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type="dxa" w:w="426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Componente</w:t>
            </w:r>
          </w:p>
        </w:tc>
        <w:tc>
          <w:tcPr>
            <w:tcW w:type="dxa" w:w="300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Capacidade</w:t>
            </w:r>
          </w:p>
        </w:tc>
        <w:tc>
          <w:tcPr>
            <w:tcW w:type="dxa" w:w="210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Valor</w:t>
            </w:r>
          </w:p>
        </w:tc>
      </w:tr>
      <w:tr>
        <w:trPr>
          <w:cantSplit/>
        </w:trPr>
        <w:tc>
          <w:tcPr>
            <w:tcW w:type="dxa" w:w="426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Modelagem BIM direta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Até 350 horas</w:t>
            </w:r>
          </w:p>
        </w:tc>
        <w:tc>
          <w:tcPr>
            <w:tcW w:type="dxa" w:w="2100"/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R$ 28.000,00</w:t>
            </w:r>
          </w:p>
        </w:tc>
      </w:tr>
      <w:tr>
        <w:trPr>
          <w:cantSplit/>
        </w:trPr>
        <w:tc>
          <w:tcPr>
            <w:tcW w:type="dxa" w:w="426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Mobilização, gestão, reuniões, QA e exportação IFC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Esforço estimado de 70 horas</w:t>
            </w:r>
          </w:p>
        </w:tc>
        <w:tc>
          <w:tcPr>
            <w:tcW w:type="dxa" w:w="2100"/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R$ 7.000,00</w:t>
            </w:r>
          </w:p>
        </w:tc>
      </w:tr>
      <w:tr>
        <w:trPr>
          <w:cantSplit/>
        </w:trPr>
        <w:tc>
          <w:tcPr>
            <w:tcW w:type="dxa" w:w="426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  <w:t>Valor total</w:t>
            </w:r>
          </w:p>
        </w:tc>
        <w:tc>
          <w:tcPr>
            <w:tcW w:type="dxa" w:w="3000"/>
            <w:vAlign w:val="center"/>
            <w:shd w:val="clear" w:color="auto" w:fill="F4F6F9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  <w:t>Pacote prioritário</w:t>
            </w:r>
          </w:p>
        </w:tc>
        <w:tc>
          <w:tcPr>
            <w:tcW w:type="dxa" w:w="2100"/>
            <w:vAlign w:val="center"/>
            <w:shd w:val="clear" w:color="auto" w:fill="F4F6F9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  <w:t>R$ 35.000,00</w:t>
            </w:r>
          </w:p>
        </w:tc>
      </w:tr>
    </w:tbl>
    <w:p>
      <w:pPr>
        <w:spacing w:before="0" w:after="0"/>
      </w:pPr>
      <w:r>
        <w:rPr>
          <w:sz w:val="16"/>
        </w:rPr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As 350 horas constituem o banco direcionável destinado à modelagem das prioridades aprovadas.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As atividades de suporte estão incluídas no preço e não reduzem as 350 horas de modelagem direta. A estimativa de 70 horas é uma referência interna de esforço e não constitui crédito transferível, saldo financeiro ou banco adicional de modelagem.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distribuição operacional inicial será: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Gandu: até 230 horas de modelagem direta;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Piraí do Norte: até 120 horas de modelagem direta.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Essa distribuição poderá ser ajustada antes do início de uma prioridade, desde que não ultrapasse o limite total de 350 horas.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4. Escopo elegível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Poderão integrar a fila de prioridades: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fundações e elementos estruturais principais;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sistemas hidrossanitários e pluviais;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sistemas elétricos, baixa tensão e SPDA;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sistemas de prevenção e combate a incêndio;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GLP, climatização e demais instalações representadas no As Built;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redes externas e implantação;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outros subconjuntos expressamente incluídos na Linha de Base de Produção.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efetiva inclusão dependerá da prioridade indicada pela CONTRATANTE, da qualidade dos documentos recebidos e do saldo disponível de horas.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Estão incluídas: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triagem dos documentos liberados;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organização da Matriz de Liberação;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elaboração da Linha de Base de Produção;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configuração básica de unidades, níveis e coordenadas disponíveis;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modelagem geométrica das informações expressamente indicadas no 2D;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utilização de objetos genéricos e classificação IFC básica;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controle interno do modelo;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exportação e verificação básica de abertura dos IFCs;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correção de erros próprios de transposição ou exportação.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5. Liberação dos documentos 2D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CONTRATANTE liberará os documentos de forma progressiva, conforme a verificação em campo for concluindo cada conjunto. Não há número fixo de liberações nem organização obrigatória por escola: uma disciplina ou um bloco de uma unidade poderá ser liberado isoladamente, em momento diferente dos demais, e a sequência poderá variar de uma escola para a outra.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Cada documento liberado deverá apresentar, para cada prancha: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código e título;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disciplina e bloco;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número da revisão;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data da revisão;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responsável pela liberação;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declaração “Liberada para Modelagem BIM”.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Somente os documentos constantes da Matriz de Liberação serão considerados fontes contratuais.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Arquivos enviados fora do fluxo formal de liberação, documentos complementares ou revisões posteriores não substituirão automaticamente as fontes já congeladas.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Qualquer alteração posterior poderá: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consumir o saldo disponível de modelagem, reduzindo os itens ainda não iniciados; ou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ser executada como serviço adicional, mediante autorização escrita.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6. Linha de Base e priorização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Após a triagem dos documentos, será apresentada uma Linha de Base de Produção contendo: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empreendimento;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bloco ou conjunto documental;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disciplina;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ordem de prioridade;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estimativa de horas;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situação da documentação;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produto IFC previsto.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produção avançará sequencialmente.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Uma nova prioridade somente será iniciada quando o saldo estimado de horas for suficiente para sua conclusão. Caso o saldo não comporte o próximo item, a CONTRATANTE poderá selecionar uma prioridade menor ainda não iniciada.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repriorização de itens não iniciados será permitida sem custo, desde que permaneça dentro dos documentos liberados e do saldo disponível.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repetição de blocos somente será considerada quando a CONTRATANTE confirmar formalmente que as respectivas soluções técnicas e revisões são equivalentes.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7. Critérios de modelagem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modelagem terá caráter documental e geométrico simplificado, reproduzindo somente as informações expressamente representadas nos documentos 2D liberados.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Serão adotados os seguintes critérios: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objetos BIM genéricos;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dimensões, níveis, seções, diâmetros e trajetos conforme as fontes;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classificação e propriedades IFC básicas;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ausência de inferência de informações não representadas;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sistema de coordenadas local quando não houver georreferenciamento válido;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arquitetura existente utilizada somente como referência;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lacunas ou contradições submetidas à CONTRATANTE.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Não será garantido um LOD genérico ou superior ao conteúdo efetivamente disponível nos desenhos.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CONTRATADA não ficará responsável por criar dimensões, trajetos, soluções, propriedades, especificações ou decisões de engenharia inexistentes nas fontes.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8. Produto contratual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8" w:space="0" w:color="0F6B62"/>
          <w:left w:val="single" w:sz="8" w:space="0" w:color="0F6B62"/>
          <w:bottom w:val="single" w:sz="8" w:space="0" w:color="0F6B62"/>
          <w:right w:val="single" w:sz="8" w:space="0" w:color="0F6B62"/>
        </w:tblBorders>
        <w:tblLayout w:type="fixed"/>
      </w:tblPr>
      <w:tblGrid>
        <w:gridCol w:w="8640"/>
      </w:tblGrid>
      <w:tr>
        <w:trPr>
          <w:cantSplit/>
        </w:trPr>
        <w:tc>
          <w:tcPr>
            <w:tcW w:type="dxa" w:w="9360"/>
            <w:shd w:val="clear" w:color="auto" w:fill="E2F0ED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0F6B62"/>
                <w:sz w:val="19"/>
              </w:rPr>
              <w:t>ENTREGA EXCLUSIVA</w:t>
              <w:br/>
            </w:r>
            <w:r>
              <w:rPr>
                <w:rFonts w:ascii="Calibri" w:hAnsi="Calibri" w:eastAsia="Calibri"/>
                <w:b/>
                <w:i w:val="0"/>
                <w:color w:val="17324D"/>
                <w:sz w:val="20"/>
              </w:rPr>
              <w:t>O único tipo de produto contratual é o IFC. Não são entregues arquivos nativos de autoria, RVT, DWG, NWC, BCF, PDF, modelos federados, relatórios, memoriais ou quantitativos.</w:t>
            </w:r>
          </w:p>
        </w:tc>
      </w:tr>
    </w:tbl>
    <w:p>
      <w:pPr>
        <w:spacing w:before="0" w:after="0"/>
      </w:pPr>
      <w:r>
        <w:rPr>
          <w:sz w:val="12"/>
        </w:rPr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Poderão ser emitidos um ou mais arquivos IFC, separados por empreendimento, bloco, disciplina ou prioridade concluída, conforme estratégia aprovada na mobilização.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esquema IFC, as unidades, a nomenclatura, a segmentação dos arquivos e o sistema de coordenadas serão definidos no início dos trabalhos.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Não estão incluídos: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arquivos nativos de autoria;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RVT, DWG, NWC ou BCF;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modelos federados;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pranchas ou arquivos PDF;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relatórios técnicos;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memoriais;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quantitativos;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orçamento ou planejamento;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famílias paramétricas especiais.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9. Compatibilização e responsabilidade pelas fontes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Esta proposta não contempla: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compatibilização entre disciplinas;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detecção de interferências;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coordenação ou federação BIM;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correção de conflitos de projeto;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verificação de correspondência com a obra executada;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validação, cálculo ou dimensionamento de engenharia.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Os IFCs poderão conservar interferências, divergências ou inconsistências existentes nos documentos 2D.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CONTRATANTE será responsável por garantir que os documentos liberados representam adequadamente o executado em campo.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10. Prazo e governança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prazo estimado de produção é de 12 semanas, contado a partir: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da formalização da contratação;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do recebimento da primeira liberação de documentos;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da aprovação da Linha de Base;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do fornecimento das informações mínimas necessárias.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vigência operacional será de até 120 dias corridos.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Aguardos por documentos, aprovações, decisões ou esclarecimentos suspendem o cronograma dos itens afetados. Caso o atraso ultrapasse a janela contratual, a retomada dependerá de reprogramação e disponibilidade da CONTRATADA.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Estão incluídas: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uma reunião de mobilização;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até duas reuniões técnicas de alinhamento;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uma reunião de entrega;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acompanhamento periódico das prioridades, horas utilizadas e saldo.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11. Aceite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CONTRATANTE terá cinco dias úteis após cada entrega para encaminhar uma única relação consolidada de observações.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aceite considerará: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abertura do IFC no visualizador acordado;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conformidade com o esquema e a organização definidos;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presença dos itens declarados como concluídos;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correspondência geométrica com os documentos liberados;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ausência de erro crítico de exportação.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Uma rodada consolidada de correções de erros comprovadamente imputáveis à CONTRATADA estará incluída e não consumirá as 350 horas de modelagem.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Não serão consideradas correções gratuitas: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novas revisões do As Built;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informações acrescentadas após a liberação;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mudanças de interpretação;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preferências de representação não pactuadas;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solicitações adicionais de propriedades ou detalhamento.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Na ausência de manifestação dentro do prazo, a entrega será considerada aceita.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12. Encerramento do pacote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serviço será considerado regularmente concluído quando ocorrer primeiro: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consumo das 350 horas de modelagem direta;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conclusão de todas as prioridades elegíveis da Linha de Base;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término da vigência contratual;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impedimento causado pela ausência de informações ou respostas da CONTRATANTE por mais de 20 dias úteis.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consumo da capacidade não obriga a CONTRATADA a concluir blocos, disciplinas ou documentos que não tenham sido alcançados pela sequência aprovada.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13. Serviços adicionais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Serviços que excedam a capacidade contratada somente serão executados mediante autorização escrita.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Valor dos serviços adicionais: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R$ 100,00 por hora;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contratação mínima de oito horas; ou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bloco opcional de 40 horas por R$ 4.000,00.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Também serão considerados adicionais: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revisões posteriores ao congelamento;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novas pranchas, blocos ou disciplinas;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reuniões adicionais;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mudanças de protocolo ou segmentação IFC;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reprojetos ou desenvolvimento de informação ausente;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extensão da disponibilidade contratual por atraso dos insumos.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14. Condições de pagamento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E1E8"/>
          <w:left w:val="single" w:sz="4" w:space="0" w:color="D9E1E8"/>
          <w:bottom w:val="single" w:sz="4" w:space="0" w:color="D9E1E8"/>
          <w:right w:val="single" w:sz="4" w:space="0" w:color="D9E1E8"/>
          <w:insideH w:val="single" w:sz="4" w:space="0" w:color="D9E1E8"/>
          <w:insideV w:val="single" w:sz="4" w:space="0" w:color="D9E1E8"/>
        </w:tblBorders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type="dxa" w:w="110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Parcela</w:t>
            </w:r>
          </w:p>
        </w:tc>
        <w:tc>
          <w:tcPr>
            <w:tcW w:type="dxa" w:w="150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Percentual</w:t>
            </w:r>
          </w:p>
        </w:tc>
        <w:tc>
          <w:tcPr>
            <w:tcW w:type="dxa" w:w="190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Valor</w:t>
            </w:r>
          </w:p>
        </w:tc>
        <w:tc>
          <w:tcPr>
            <w:tcW w:type="dxa" w:w="486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Marco</w:t>
            </w:r>
          </w:p>
        </w:tc>
      </w:tr>
      <w:tr>
        <w:trPr>
          <w:cantSplit/>
        </w:trPr>
        <w:tc>
          <w:tcPr>
            <w:tcW w:type="dxa" w:w="11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1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30%</w:t>
            </w:r>
          </w:p>
        </w:tc>
        <w:tc>
          <w:tcPr>
            <w:tcW w:type="dxa" w:w="1900"/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R$ 10.500,00</w:t>
            </w:r>
          </w:p>
        </w:tc>
        <w:tc>
          <w:tcPr>
            <w:tcW w:type="dxa" w:w="486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Contratação e ordem de início</w:t>
            </w:r>
          </w:p>
        </w:tc>
      </w:tr>
      <w:tr>
        <w:trPr>
          <w:cantSplit/>
        </w:trPr>
        <w:tc>
          <w:tcPr>
            <w:tcW w:type="dxa" w:w="11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2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35%</w:t>
            </w:r>
          </w:p>
        </w:tc>
        <w:tc>
          <w:tcPr>
            <w:tcW w:type="dxa" w:w="1900"/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R$ 12.250,00</w:t>
            </w:r>
          </w:p>
        </w:tc>
        <w:tc>
          <w:tcPr>
            <w:tcW w:type="dxa" w:w="486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Primeira entrega IFC ou 45% da capacidade</w:t>
            </w:r>
          </w:p>
        </w:tc>
      </w:tr>
      <w:tr>
        <w:trPr>
          <w:cantSplit/>
        </w:trPr>
        <w:tc>
          <w:tcPr>
            <w:tcW w:type="dxa" w:w="11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3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25%</w:t>
            </w:r>
          </w:p>
        </w:tc>
        <w:tc>
          <w:tcPr>
            <w:tcW w:type="dxa" w:w="1900"/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R$ 8.750,00</w:t>
            </w:r>
          </w:p>
        </w:tc>
        <w:tc>
          <w:tcPr>
            <w:tcW w:type="dxa" w:w="486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Entrega subsequente ou 85% da capacidade</w:t>
            </w:r>
          </w:p>
        </w:tc>
      </w:tr>
      <w:tr>
        <w:trPr>
          <w:cantSplit/>
        </w:trPr>
        <w:tc>
          <w:tcPr>
            <w:tcW w:type="dxa" w:w="11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4</w:t>
            </w:r>
          </w:p>
        </w:tc>
        <w:tc>
          <w:tcPr>
            <w:tcW w:type="dxa" w:w="15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10%</w:t>
            </w:r>
          </w:p>
        </w:tc>
        <w:tc>
          <w:tcPr>
            <w:tcW w:type="dxa" w:w="1900"/>
            <w:vAlign w:val="center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R$ 3.500,00</w:t>
            </w:r>
          </w:p>
        </w:tc>
        <w:tc>
          <w:tcPr>
            <w:tcW w:type="dxa" w:w="4860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Aceite ou encerramento contratual</w:t>
            </w:r>
          </w:p>
        </w:tc>
      </w:tr>
      <w:tr>
        <w:trPr>
          <w:cantSplit/>
        </w:trPr>
        <w:tc>
          <w:tcPr>
            <w:tcW w:type="dxa" w:w="1100"/>
            <w:vAlign w:val="center"/>
            <w:shd w:val="clear" w:color="auto" w:fill="F4F6F9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  <w:t>Total</w:t>
            </w:r>
          </w:p>
        </w:tc>
        <w:tc>
          <w:tcPr>
            <w:tcW w:type="dxa" w:w="1500"/>
            <w:vAlign w:val="center"/>
            <w:shd w:val="clear" w:color="auto" w:fill="F4F6F9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  <w:t>100%</w:t>
            </w:r>
          </w:p>
        </w:tc>
        <w:tc>
          <w:tcPr>
            <w:tcW w:type="dxa" w:w="1900"/>
            <w:vAlign w:val="center"/>
            <w:shd w:val="clear" w:color="auto" w:fill="F4F6F9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  <w:t>R$ 35.000,00</w:t>
            </w:r>
          </w:p>
        </w:tc>
        <w:tc>
          <w:tcPr>
            <w:tcW w:type="dxa" w:w="4860"/>
            <w:vAlign w:val="center"/>
            <w:shd w:val="clear" w:color="auto" w:fill="F4F6F9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</w:r>
          </w:p>
        </w:tc>
      </w:tr>
    </w:tbl>
    <w:p>
      <w:pPr>
        <w:spacing w:before="0" w:after="0"/>
      </w:pPr>
      <w:r>
        <w:rPr>
          <w:sz w:val="16"/>
        </w:rPr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valor considera execução remota e os tributos próprios da CONTRATADA.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Não estão incluídos deslocamentos, hospedagens, levantamentos de campo, licenças de terceiros, taxas ou emissão de ART/RRT.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15. Responsabilidades da CONTRATANTE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Compete à CONTRATANTE: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garantir que o 2D liberado representa o executado;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identificar as revisões finais;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definir prioridades;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fornecer cotas, níveis e informações ausentes;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resolver contradições ou decisões de projeto;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aprovar a Linha de Base e o protocolo IFC;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consolidar as observações de aceite.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16. Responsabilidades da CONTRATADA</w:t>
      </w:r>
    </w:p>
    <w:p>
      <w:pPr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Compete à CONTRATADA: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modelar fielmente os documentos congelados;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manter rastreabilidade com as fontes;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controlar o consumo das horas;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comunicar lacunas que impeçam a modelagem;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exportar e verificar os IFCs;</w:t>
      </w:r>
    </w:p>
    <w:p>
      <w:pPr>
        <w:spacing w:after="60" w:before="0" w:line="269" w:lineRule="auto"/>
        <w:ind w:left="461" w:hanging="288"/>
      </w:pPr>
      <w:r>
        <w:rPr>
          <w:rFonts w:ascii="Calibri" w:hAnsi="Calibri" w:eastAsia="Calibri"/>
          <w:b/>
          <w:i w:val="0"/>
          <w:color w:val="52606D"/>
          <w:sz w:val="22"/>
        </w:rPr>
        <w:t xml:space="preserve">•  </w:t>
      </w:r>
      <w:r>
        <w:rPr>
          <w:rFonts w:ascii="Calibri" w:hAnsi="Calibri" w:eastAsia="Calibri"/>
          <w:b w:val="0"/>
          <w:i w:val="0"/>
          <w:color w:val="1F2933"/>
          <w:sz w:val="22"/>
        </w:rPr>
        <w:t>corrigir erros próprios de transposição.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A modelagem não transfere à CONTRATADA a autoria ou a responsabilidade técnica pelos projetos de origem.</w:t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17. Validade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Esta proposta possui validade comercial de 15 dias contados da data-base.</w:t>
      </w:r>
    </w:p>
    <w:p>
      <w:pPr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F2933"/>
          <w:sz w:val="22"/>
        </w:rPr>
        <w:t>O aceite confirma ciência de que o objeto corresponde a um pacote prioritário de capacidade limitada, com entrega exclusiva em IFC, e não à conversão integral do acervo das escolas.</w:t>
      </w:r>
    </w:p>
    <w:p>
      <w:r>
        <w:br w:type="page"/>
      </w:r>
    </w:p>
    <w:p>
      <w:pPr>
        <w:keepNext/>
        <w:spacing w:before="360" w:after="200"/>
      </w:pPr>
      <w:r>
        <w:rPr>
          <w:rFonts w:ascii="Calibri" w:hAnsi="Calibri" w:eastAsia="Calibri"/>
          <w:b/>
          <w:i w:val="0"/>
          <w:color w:val="2E74B5"/>
          <w:sz w:val="32"/>
        </w:rPr>
        <w:t>18. Aceite e assinaturas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9E1E8"/>
          <w:left w:val="single" w:sz="4" w:space="0" w:color="D9E1E8"/>
          <w:bottom w:val="single" w:sz="4" w:space="0" w:color="D9E1E8"/>
          <w:right w:val="single" w:sz="4" w:space="0" w:color="D9E1E8"/>
          <w:insideH w:val="single" w:sz="4" w:space="0" w:color="D9E1E8"/>
          <w:insideV w:val="single" w:sz="4" w:space="0" w:color="D9E1E8"/>
        </w:tblBorders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type="dxa" w:w="468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CONTRATANTE</w:t>
            </w:r>
          </w:p>
        </w:tc>
        <w:tc>
          <w:tcPr>
            <w:tcW w:type="dxa" w:w="4680"/>
            <w:shd w:val="clear" w:color="auto" w:fill="F4F6F9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CONTRATADA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  <w:t>Metro Engenharia</w:t>
            </w:r>
          </w:p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Razão social: ______________________________</w:t>
            </w:r>
          </w:p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CNPJ: ____________________________________</w:t>
            </w:r>
          </w:p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Representante: _____________________________</w:t>
            </w:r>
          </w:p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Assinatura: ________________________________</w:t>
            </w:r>
          </w:p>
        </w:tc>
        <w:tc>
          <w:tcPr>
            <w:tcW w:type="dxa" w:w="4680"/>
          </w:tcPr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/>
                <w:i w:val="0"/>
                <w:color w:val="1F2933"/>
                <w:sz w:val="20"/>
              </w:rPr>
              <w:t>Proponente</w:t>
            </w:r>
          </w:p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Razão social: ______________________________</w:t>
            </w:r>
          </w:p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CNPJ: ____________________________________</w:t>
            </w:r>
          </w:p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Representante: _____________________________</w:t>
            </w:r>
          </w:p>
          <w:p>
            <w:pPr>
              <w:spacing w:before="0" w:after="120" w:line="240" w:lineRule="auto"/>
            </w:pPr>
            <w:r>
              <w:rPr>
                <w:rFonts w:ascii="Calibri" w:hAnsi="Calibri" w:eastAsia="Calibri"/>
                <w:b w:val="0"/>
                <w:i w:val="0"/>
                <w:color w:val="1F2933"/>
                <w:sz w:val="20"/>
              </w:rPr>
              <w:t>Assinatura: ________________________________</w:t>
            </w:r>
          </w:p>
        </w:tc>
      </w:tr>
    </w:tbl>
    <w:p>
      <w:pPr>
        <w:spacing w:before="0" w:after="0"/>
      </w:pPr>
      <w:r>
        <w:rPr>
          <w:sz w:val="16"/>
        </w:rPr>
      </w:r>
    </w:p>
    <w:p>
      <w:pPr>
        <w:spacing w:before="120"/>
      </w:pPr>
      <w:r>
        <w:rPr>
          <w:rFonts w:ascii="Calibri" w:hAnsi="Calibri" w:eastAsia="Calibri"/>
          <w:b w:val="0"/>
          <w:i w:val="0"/>
          <w:color w:val="1F2933"/>
          <w:sz w:val="22"/>
        </w:rPr>
        <w:t>Local e data: 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8" w:space="0" w:color="52606D"/>
          <w:left w:val="single" w:sz="8" w:space="0" w:color="52606D"/>
          <w:bottom w:val="single" w:sz="8" w:space="0" w:color="52606D"/>
          <w:right w:val="single" w:sz="8" w:space="0" w:color="52606D"/>
        </w:tblBorders>
        <w:tblLayout w:type="fixed"/>
      </w:tblPr>
      <w:tblGrid>
        <w:gridCol w:w="8640"/>
      </w:tblGrid>
      <w:tr>
        <w:trPr>
          <w:cantSplit/>
        </w:trPr>
        <w:tc>
          <w:tcPr>
            <w:tcW w:type="dxa" w:w="9360"/>
            <w:shd w:val="clear" w:color="auto" w:fill="F4F6F9"/>
            <w:vAlign w:val="center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/>
                <w:i w:val="0"/>
                <w:color w:val="52606D"/>
                <w:sz w:val="19"/>
              </w:rPr>
              <w:t>SÍNTESE DO COMPROMISSO</w:t>
              <w:br/>
            </w:r>
            <w:r>
              <w:rPr>
                <w:rFonts w:ascii="Calibri" w:hAnsi="Calibri" w:eastAsia="Calibri"/>
                <w:b/>
                <w:i w:val="0"/>
                <w:color w:val="17324D"/>
                <w:sz w:val="20"/>
              </w:rPr>
              <w:t>Pacote prioritário de até 350 horas de modelagem BIM documental, valor total fixo de R$ 35.000,00, entrega exclusiva em IFC, executado por ordem de prioridade aprovada pela CONTRATANTE, sem conversão automática do acervo completo.</w:t>
            </w:r>
          </w:p>
        </w:tc>
      </w:tr>
    </w:tbl>
    <w:p>
      <w:pPr>
        <w:spacing w:before="0" w:after="0"/>
      </w:pPr>
      <w:r>
        <w:rPr>
          <w:sz w:val="12"/>
        </w:rPr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  <w:tblLayout w:type="fixed"/>
    </w:tblPr>
    <w:tblGrid>
      <w:gridCol w:w="4680"/>
      <w:gridCol w:w="4680"/>
    </w:tblGrid>
    <w:tr>
      <w:tc>
        <w:tcPr>
          <w:tcW w:type="dxa" w:w="6200"/>
          <w:vAlign w:val="center"/>
        </w:tcPr>
        <w:p>
          <w:pPr>
            <w:spacing w:before="0" w:after="0" w:line="240" w:lineRule="auto"/>
            <w:jc w:val="left"/>
          </w:pPr>
          <w:r>
            <w:rPr>
              <w:rFonts w:ascii="Calibri" w:hAnsi="Calibri" w:eastAsia="Calibri"/>
              <w:b w:val="0"/>
              <w:i w:val="0"/>
              <w:color w:val="52606D"/>
              <w:sz w:val="17"/>
            </w:rPr>
            <w:t>Metro Engenharia | Gandu e Piraí do Norte/BA</w:t>
          </w:r>
        </w:p>
      </w:tc>
      <w:tc>
        <w:tcPr>
          <w:tcW w:type="dxa" w:w="3160"/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Calibri" w:hAnsi="Calibri" w:eastAsia="Calibri"/>
              <w:b w:val="0"/>
              <w:i w:val="0"/>
              <w:color w:val="52606D"/>
              <w:sz w:val="17"/>
            </w:rPr>
            <w:t xml:space="preserve">Página </w:t>
          </w:r>
          <w:r>
            <w:rPr>
              <w:rFonts w:ascii="Calibri" w:hAnsi="Calibri"/>
              <w:color w:val="52606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  <w:tblLayout w:type="fixed"/>
    </w:tblPr>
    <w:tblGrid>
      <w:gridCol w:w="4680"/>
      <w:gridCol w:w="4680"/>
    </w:tblGrid>
    <w:tr>
      <w:tc>
        <w:tcPr>
          <w:tcW w:type="dxa" w:w="4680"/>
          <w:vAlign w:val="center"/>
        </w:tcPr>
        <w:p>
          <w:pPr>
            <w:spacing w:before="0" w:after="0" w:line="240" w:lineRule="auto"/>
            <w:jc w:val="left"/>
          </w:pPr>
          <w:r>
            <w:rPr>
              <w:rFonts w:ascii="Calibri" w:hAnsi="Calibri" w:eastAsia="Calibri"/>
              <w:b/>
              <w:i w:val="0"/>
              <w:color w:val="52606D"/>
              <w:sz w:val="17"/>
            </w:rPr>
            <w:t>MODELAGEM BIM DOCUMENTAL | PACOTE PRIORITÁRIO</w:t>
          </w:r>
        </w:p>
      </w:tc>
      <w:tc>
        <w:tcPr>
          <w:tcW w:type="dxa" w:w="4680"/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Calibri" w:hAnsi="Calibri" w:eastAsia="Calibri"/>
              <w:b/>
              <w:i w:val="0"/>
              <w:color w:val="52606D"/>
              <w:sz w:val="17"/>
            </w:rPr>
            <w:t>REVISÃO 00 | ENTREGA IFC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